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278" w14:textId="7FCF5A32"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77777777" w:rsidR="000E61F5" w:rsidRDefault="000E61F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77777777"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77777777"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3"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4"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5"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7"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8"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2"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344D8244" w14:textId="77777777" w:rsidR="000E61F5" w:rsidRDefault="009708BB">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1C8B3017" w14:textId="6EA140A3" w:rsidR="000E61F5" w:rsidRDefault="000E61F5">
      <w:pPr>
        <w:jc w:val="both"/>
        <w:rPr>
          <w:rFonts w:ascii="Marianne" w:hAnsi="Marianne" w:cs="Arial"/>
          <w:iCs/>
        </w:rPr>
      </w:pP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11B8190A" w14:textId="77777777" w:rsidR="000E61F5" w:rsidRDefault="009708BB">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14:paraId="5EA546C2" w14:textId="77777777" w:rsidR="000E61F5" w:rsidRDefault="000E61F5">
      <w:pPr>
        <w:jc w:val="both"/>
        <w:rPr>
          <w:rFonts w:ascii="Marianne" w:hAnsi="Marianne" w:cs="Arial"/>
        </w:rPr>
      </w:pPr>
    </w:p>
    <w:p w14:paraId="05986E2D" w14:textId="77777777" w:rsidR="000E61F5" w:rsidRDefault="000E61F5">
      <w:pPr>
        <w:jc w:val="both"/>
        <w:rPr>
          <w:rFonts w:ascii="Marianne" w:hAnsi="Marianne" w:cs="Arial"/>
        </w:rPr>
      </w:pP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lastRenderedPageBreak/>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proofErr w:type="gramStart"/>
      <w:r>
        <w:rPr>
          <w:rFonts w:ascii="Marianne" w:hAnsi="Marianne" w:cs="Arial"/>
          <w:b/>
          <w:bCs/>
          <w:sz w:val="20"/>
          <w:szCs w:val="20"/>
        </w:rPr>
        <w:t>Adresses postale</w:t>
      </w:r>
      <w:proofErr w:type="gramEnd"/>
      <w:r>
        <w:rPr>
          <w:rFonts w:ascii="Marianne" w:hAnsi="Marianne" w:cs="Arial"/>
          <w:b/>
          <w:bCs/>
          <w:sz w:val="20"/>
          <w:szCs w:val="20"/>
        </w:rPr>
        <w:t xml:space="preserv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proofErr w:type="gramStart"/>
      <w:r>
        <w:rPr>
          <w:rFonts w:ascii="Marianne" w:hAnsi="Marianne" w:cs="Arial"/>
          <w:b/>
          <w:bCs/>
          <w:sz w:val="20"/>
          <w:szCs w:val="20"/>
        </w:rPr>
        <w:t>Adresses postale</w:t>
      </w:r>
      <w:proofErr w:type="gramEnd"/>
      <w:r>
        <w:rPr>
          <w:rFonts w:ascii="Marianne" w:hAnsi="Marianne" w:cs="Arial"/>
          <w:b/>
          <w:bCs/>
          <w:sz w:val="20"/>
          <w:szCs w:val="20"/>
        </w:rPr>
        <w:t xml:space="preserv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41E4">
        <w:rPr>
          <w:rFonts w:ascii="Marianne" w:hAnsi="Marianne"/>
        </w:rPr>
      </w:r>
      <w:r w:rsidR="007E41E4">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41E4">
        <w:rPr>
          <w:rFonts w:ascii="Marianne" w:hAnsi="Marianne"/>
        </w:rPr>
      </w:r>
      <w:r w:rsidR="007E41E4">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41E4">
        <w:rPr>
          <w:rFonts w:ascii="Marianne" w:hAnsi="Marianne"/>
        </w:rPr>
      </w:r>
      <w:r w:rsidR="007E41E4">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41E4">
        <w:rPr>
          <w:rFonts w:ascii="Marianne" w:hAnsi="Marianne"/>
        </w:rPr>
      </w:r>
      <w:r w:rsidR="007E41E4">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roofErr w:type="gramStart"/>
      <w:r>
        <w:rPr>
          <w:rFonts w:ascii="Marianne" w:hAnsi="Marianne" w:cs="Arial"/>
        </w:rPr>
        <w:t>…….</w:t>
      </w:r>
      <w:proofErr w:type="gramEnd"/>
      <w:r>
        <w:rPr>
          <w:rFonts w:ascii="Marianne" w:hAnsi="Marianne" w:cs="Arial"/>
        </w:rPr>
        <w:t>.</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rPr>
        <w:t>le</w:t>
      </w:r>
      <w:proofErr w:type="gramEnd"/>
      <w:r>
        <w:rPr>
          <w:rFonts w:ascii="Marianne" w:hAnsi="Marianne" w:cs="Arial"/>
        </w:rPr>
        <w:t xml:space="preserv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bCs/>
        </w:rPr>
        <w:t>l</w:t>
      </w:r>
      <w:r>
        <w:rPr>
          <w:rFonts w:ascii="Marianne" w:hAnsi="Marianne" w:cs="Arial"/>
        </w:rPr>
        <w:t>e</w:t>
      </w:r>
      <w:proofErr w:type="gramEnd"/>
      <w:r>
        <w:rPr>
          <w:rFonts w:ascii="Marianne" w:hAnsi="Marianne" w:cs="Arial"/>
        </w:rPr>
        <w:t xml:space="preserv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77777777" w:rsidR="000E61F5" w:rsidRDefault="009708BB">
      <w:pPr>
        <w:jc w:val="both"/>
        <w:rPr>
          <w:rFonts w:ascii="Marianne" w:hAnsi="Marianne" w:cs="Arial"/>
        </w:rPr>
      </w:pPr>
      <w:r>
        <w:rPr>
          <w:rFonts w:ascii="Marianne" w:hAnsi="Marianne" w:cs="Arial"/>
          <w:b/>
        </w:rPr>
        <w:t>Montant 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77777777"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w:t>
      </w:r>
      <w:proofErr w:type="gramStart"/>
      <w:r>
        <w:rPr>
          <w:rFonts w:ascii="Marianne" w:hAnsi="Marianne" w:cs="Arial"/>
        </w:rPr>
        <w:t>…….</w:t>
      </w:r>
      <w:proofErr w:type="gramEnd"/>
      <w:r>
        <w:rPr>
          <w:rFonts w:ascii="Marianne" w:hAnsi="Marianne" w:cs="Arial"/>
        </w:rPr>
        <w:t>.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w:t>
      </w:r>
      <w:proofErr w:type="gramStart"/>
      <w:r>
        <w:rPr>
          <w:rFonts w:ascii="Marianne" w:hAnsi="Marianne" w:cs="Arial"/>
        </w:rPr>
        <w:t>…….</w:t>
      </w:r>
      <w:proofErr w:type="gramEnd"/>
      <w:r>
        <w:rPr>
          <w:rFonts w:ascii="Marianne" w:hAnsi="Marianne" w:cs="Arial"/>
        </w:rPr>
        <w:t>.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w:t>
      </w:r>
      <w:proofErr w:type="gramStart"/>
      <w:r>
        <w:rPr>
          <w:rFonts w:ascii="Marianne" w:hAnsi="Marianne" w:cs="Arial"/>
        </w:rPr>
        <w:t>… .</w:t>
      </w:r>
      <w:proofErr w:type="gramEnd"/>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 xml:space="preserve">Taux de la TVA : </w:t>
      </w:r>
      <w:proofErr w:type="spellStart"/>
      <w:r>
        <w:rPr>
          <w:rFonts w:ascii="Marianne" w:hAnsi="Marianne" w:cs="Arial"/>
          <w:bCs/>
          <w:spacing w:val="-10"/>
          <w:position w:val="-2"/>
        </w:rPr>
        <w:t>auto-liquidation</w:t>
      </w:r>
      <w:proofErr w:type="spellEnd"/>
      <w:r>
        <w:rPr>
          <w:rFonts w:ascii="Marianne" w:hAnsi="Marianne" w:cs="Arial"/>
          <w:bCs/>
          <w:spacing w:val="-10"/>
          <w:position w:val="-2"/>
        </w:rPr>
        <w:t xml:space="preserve"> (la TVA est due par le titulaire) : …</w:t>
      </w:r>
      <w:proofErr w:type="gramStart"/>
      <w:r>
        <w:rPr>
          <w:rFonts w:ascii="Marianne" w:hAnsi="Marianne" w:cs="Arial"/>
          <w:bCs/>
          <w:spacing w:val="-10"/>
          <w:position w:val="-2"/>
        </w:rPr>
        <w:t>…….</w:t>
      </w:r>
      <w:proofErr w:type="gramEnd"/>
      <w:r>
        <w:rPr>
          <w:rFonts w:ascii="Marianne" w:hAnsi="Marianne" w:cs="Arial"/>
          <w:bCs/>
          <w:spacing w:val="-10"/>
          <w:position w:val="-2"/>
        </w:rPr>
        <w:t xml:space="preserve">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w:t>
      </w:r>
      <w:proofErr w:type="gramStart"/>
      <w:r>
        <w:rPr>
          <w:rFonts w:ascii="Marianne" w:hAnsi="Marianne" w:cs="Arial"/>
          <w:bCs/>
          <w:spacing w:val="-10"/>
          <w:position w:val="-2"/>
        </w:rPr>
        <w:t>…….</w:t>
      </w:r>
      <w:proofErr w:type="gramEnd"/>
      <w:r>
        <w:rPr>
          <w:rFonts w:ascii="Marianne" w:hAnsi="Marianne" w:cs="Arial"/>
          <w:bCs/>
          <w:spacing w:val="-10"/>
          <w:position w:val="-2"/>
        </w:rPr>
        <w:t>.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7777777" w:rsidR="000E61F5" w:rsidRDefault="000E61F5">
      <w:pPr>
        <w:jc w:val="both"/>
        <w:rPr>
          <w:rFonts w:ascii="Marianne" w:hAnsi="Marianne" w:cs="Arial"/>
          <w:bCs/>
        </w:rPr>
      </w:pP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007E41E4">
        <w:rPr>
          <w:rFonts w:ascii="Arial" w:hAnsi="Arial" w:cs="Arial"/>
          <w:b/>
          <w:bCs/>
        </w:rPr>
      </w:r>
      <w:r w:rsidR="007E41E4">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41E4">
        <w:rPr>
          <w:rFonts w:ascii="Marianne" w:hAnsi="Marianne"/>
        </w:rPr>
      </w:r>
      <w:r w:rsidR="007E41E4">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l'exemplaire</w:t>
      </w:r>
      <w:proofErr w:type="gramEnd"/>
      <w:r>
        <w:rPr>
          <w:rFonts w:ascii="Marianne" w:hAnsi="Marianne" w:cs="Arial"/>
          <w:iCs/>
        </w:rPr>
        <w:t xml:space="preserv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une</w:t>
      </w:r>
      <w:proofErr w:type="gramEnd"/>
      <w:r>
        <w:rPr>
          <w:rFonts w:ascii="Marianne" w:hAnsi="Marianne" w:cs="Arial"/>
          <w:iCs/>
        </w:rPr>
        <w:t xml:space="preserv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7E41E4">
        <w:rPr>
          <w:rFonts w:ascii="Marianne" w:hAnsi="Marianne" w:cs="Arial"/>
        </w:rPr>
      </w:r>
      <w:r w:rsidR="007E41E4">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l’exemplaire</w:t>
      </w:r>
      <w:proofErr w:type="gramEnd"/>
      <w:r>
        <w:rPr>
          <w:rFonts w:ascii="Marianne" w:hAnsi="Marianne" w:cs="Arial"/>
        </w:rPr>
        <w:t xml:space="preserv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rFonts w:ascii="Marianne" w:hAnsi="Marianne" w:cs="Arial"/>
          <w:i/>
          <w:iCs/>
          <w:sz w:val="18"/>
          <w:szCs w:val="18"/>
        </w:rPr>
        <w:t>le retourne signé</w:t>
      </w:r>
      <w:proofErr w:type="gramEnd"/>
      <w:r>
        <w:rPr>
          <w:rFonts w:ascii="Marianne" w:hAnsi="Marianne" w:cs="Arial"/>
          <w:i/>
          <w:iCs/>
          <w:sz w:val="18"/>
          <w:szCs w:val="18"/>
        </w:rPr>
        <w:t xml:space="preserve">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w:t>
      </w:r>
      <w:proofErr w:type="gramStart"/>
      <w:r>
        <w:rPr>
          <w:rFonts w:ascii="Marianne" w:hAnsi="Marianne" w:cs="Arial"/>
        </w:rPr>
        <w:t xml:space="preserve">  ,</w:t>
      </w:r>
      <w:proofErr w:type="gramEnd"/>
      <w:r>
        <w:rPr>
          <w:rFonts w:ascii="Marianne" w:hAnsi="Marianne" w:cs="Arial"/>
        </w:rPr>
        <w:t xml:space="preserve">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p w14:paraId="7701B853" w14:textId="18094B6E" w:rsidR="0088705A" w:rsidRDefault="0088705A">
      <w:pPr>
        <w:jc w:val="both"/>
        <w:rPr>
          <w:rFonts w:ascii="Marianne" w:hAnsi="Marianne" w:cs="Arial"/>
        </w:rPr>
      </w:pPr>
    </w:p>
    <w:p w14:paraId="379F776E" w14:textId="7BB580D6" w:rsidR="0088705A" w:rsidRDefault="0088705A">
      <w:pPr>
        <w:jc w:val="both"/>
        <w:rPr>
          <w:rFonts w:ascii="Marianne" w:hAnsi="Marianne" w:cs="Arial"/>
        </w:rPr>
      </w:pPr>
    </w:p>
    <w:p w14:paraId="7D1C95B0" w14:textId="4CA77C32" w:rsidR="0088705A" w:rsidRDefault="0088705A">
      <w:pPr>
        <w:jc w:val="both"/>
        <w:rPr>
          <w:rFonts w:ascii="Marianne" w:hAnsi="Marianne" w:cs="Arial"/>
        </w:rPr>
      </w:pPr>
    </w:p>
    <w:p w14:paraId="50545C5C" w14:textId="77777777" w:rsidR="0088705A" w:rsidRDefault="0088705A">
      <w:pPr>
        <w:jc w:val="both"/>
        <w:rPr>
          <w:rFonts w:ascii="Marianne" w:hAnsi="Marianne" w:cs="Arial"/>
        </w:rPr>
      </w:pPr>
    </w:p>
    <w:p w14:paraId="7DFFB5D9" w14:textId="0F3BC061" w:rsidR="000E61F5" w:rsidRDefault="000E61F5">
      <w:pPr>
        <w:jc w:val="both"/>
        <w:rPr>
          <w:rFonts w:ascii="Marianne" w:hAnsi="Marianne" w:cs="Arial"/>
        </w:rPr>
      </w:pPr>
    </w:p>
    <w:p w14:paraId="4A805DCA" w14:textId="399ADC16" w:rsidR="00870FD1" w:rsidRDefault="00870FD1">
      <w:pPr>
        <w:jc w:val="both"/>
        <w:rPr>
          <w:rFonts w:ascii="Marianne" w:hAnsi="Marianne" w:cs="Arial"/>
        </w:rPr>
      </w:pPr>
    </w:p>
    <w:p w14:paraId="04F9F955" w14:textId="4F68193A" w:rsidR="00870FD1" w:rsidRDefault="00870FD1">
      <w:pPr>
        <w:jc w:val="both"/>
        <w:rPr>
          <w:rFonts w:ascii="Marianne" w:hAnsi="Marianne" w:cs="Arial"/>
        </w:rPr>
      </w:pPr>
    </w:p>
    <w:p w14:paraId="679C9DCF" w14:textId="7E5F02EF" w:rsidR="0088705A" w:rsidRDefault="0088705A">
      <w:pPr>
        <w:jc w:val="both"/>
        <w:rPr>
          <w:rFonts w:ascii="Marianne" w:hAnsi="Marianne" w:cs="Arial"/>
        </w:rPr>
      </w:pPr>
    </w:p>
    <w:p w14:paraId="1E008AE1" w14:textId="15DC9D8D" w:rsidR="0088705A" w:rsidRDefault="0088705A">
      <w:pPr>
        <w:jc w:val="both"/>
        <w:rPr>
          <w:rFonts w:ascii="Marianne" w:hAnsi="Marianne" w:cs="Arial"/>
        </w:rPr>
      </w:pPr>
    </w:p>
    <w:p w14:paraId="4B94EC75" w14:textId="77777777" w:rsidR="0088705A" w:rsidRDefault="0088705A">
      <w:pPr>
        <w:jc w:val="both"/>
        <w:rPr>
          <w:rFonts w:ascii="Marianne" w:hAnsi="Marianne" w:cs="Arial"/>
        </w:rPr>
      </w:pPr>
    </w:p>
    <w:p w14:paraId="78508BDD" w14:textId="31B86192" w:rsidR="00870FD1" w:rsidRDefault="00870FD1">
      <w:pPr>
        <w:jc w:val="both"/>
        <w:rPr>
          <w:rFonts w:ascii="Marianne" w:hAnsi="Marianne" w:cs="Arial"/>
        </w:rPr>
      </w:pPr>
    </w:p>
    <w:p w14:paraId="0983F52F" w14:textId="2661C911" w:rsidR="00B32FA2" w:rsidRDefault="00B32FA2">
      <w:pPr>
        <w:jc w:val="both"/>
        <w:rPr>
          <w:rFonts w:ascii="Marianne" w:hAnsi="Marianne" w:cs="Arial"/>
        </w:rPr>
      </w:pPr>
    </w:p>
    <w:p w14:paraId="106B6579" w14:textId="032093B3" w:rsidR="00B32FA2" w:rsidRDefault="00B32FA2">
      <w:pPr>
        <w:jc w:val="both"/>
        <w:rPr>
          <w:rFonts w:ascii="Marianne" w:hAnsi="Marianne" w:cs="Arial"/>
        </w:rPr>
      </w:pPr>
    </w:p>
    <w:p w14:paraId="13CEEB1C" w14:textId="041E43AE" w:rsidR="00B32FA2" w:rsidRDefault="00B32FA2">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6"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14:anchorId="6E2CE047" wp14:editId="0D2AF6B5">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7"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1"/>
      <w:footerReference w:type="even" r:id="rId52"/>
      <w:footerReference w:type="default" r:id="rId53"/>
      <w:footerReference w:type="firs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2C0359"/>
    <w:rsid w:val="00517A8A"/>
    <w:rsid w:val="00727B10"/>
    <w:rsid w:val="007E41E4"/>
    <w:rsid w:val="00836B83"/>
    <w:rsid w:val="00870FD1"/>
    <w:rsid w:val="0088705A"/>
    <w:rsid w:val="00931F1E"/>
    <w:rsid w:val="009708BB"/>
    <w:rsid w:val="00B32FA2"/>
    <w:rsid w:val="00C73B79"/>
    <w:rsid w:val="00D64FF1"/>
    <w:rsid w:val="00D85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2.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3.xml><?xml version="1.0" encoding="utf-8"?>
<ds:datastoreItem xmlns:ds="http://schemas.openxmlformats.org/officeDocument/2006/customXml" ds:itemID="{E7C08A9F-56D2-41DC-9108-286A71D09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7A18A-112F-4BD7-8212-E0AA98EDFA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8</Pages>
  <Words>2615</Words>
  <Characters>20982</Characters>
  <Application>Microsoft Office Word</Application>
  <DocSecurity>0</DocSecurity>
  <Lines>174</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23550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Lebris, Sandra</cp:lastModifiedBy>
  <cp:revision>2</cp:revision>
  <cp:lastPrinted>2019-03-13T16:36:00Z</cp:lastPrinted>
  <dcterms:created xsi:type="dcterms:W3CDTF">2025-06-13T11:27:00Z</dcterms:created>
  <dcterms:modified xsi:type="dcterms:W3CDTF">2025-06-13T11:27:00Z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0x010100625CC3D0C23F644DAAB932C7ECC05BC2</vt:lpwstr>
  </property>
</Properties>
</file>